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31"/>
        <w:gridCol w:w="4524"/>
        <w:gridCol w:w="2400"/>
      </w:tblGrid>
      <w:tr w:rsidR="0099452E" w:rsidRPr="0099452E" w:rsidTr="0099452E">
        <w:trPr>
          <w:tblCellSpacing w:w="0" w:type="dxa"/>
        </w:trPr>
        <w:tc>
          <w:tcPr>
            <w:tcW w:w="0" w:type="auto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0190" cy="605790"/>
                  <wp:effectExtent l="19050" t="0" r="3810" b="0"/>
                  <wp:docPr id="1" name="Рисунок 1" descr="Верховна Рада України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ховна Рада України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Кабінет Міні</w:t>
            </w:r>
            <w:proofErr w:type="gramStart"/>
            <w:r w:rsidRPr="0099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</w:t>
            </w:r>
            <w:proofErr w:type="gramEnd"/>
            <w:r w:rsidRPr="0099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ів України;  Постанова, Положення  вiд </w:t>
            </w:r>
            <w:r w:rsidRPr="0099452E">
              <w:rPr>
                <w:rFonts w:ascii="Times New Roman" w:eastAsia="Times New Roman" w:hAnsi="Times New Roman" w:cs="Times New Roman"/>
                <w:b/>
                <w:bCs/>
                <w:color w:val="004499"/>
                <w:sz w:val="24"/>
                <w:szCs w:val="24"/>
              </w:rPr>
              <w:t>04.08.2000</w:t>
            </w:r>
            <w:r w:rsidRPr="0099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№ </w:t>
            </w:r>
            <w:r w:rsidRPr="0099452E">
              <w:rPr>
                <w:rFonts w:ascii="Times New Roman" w:eastAsia="Times New Roman" w:hAnsi="Times New Roman" w:cs="Times New Roman"/>
                <w:b/>
                <w:bCs/>
                <w:color w:val="004499"/>
                <w:sz w:val="24"/>
                <w:szCs w:val="24"/>
              </w:rPr>
              <w:t>1225</w:t>
            </w:r>
            <w:r w:rsidRPr="0099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noWrap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6945" cy="605790"/>
                  <wp:effectExtent l="19050" t="0" r="0" b="0"/>
                  <wp:docPr id="2" name="Рисунок 2" descr="Законодавство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конодавство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2E" w:rsidRPr="0099452E" w:rsidTr="0099452E">
        <w:trPr>
          <w:trHeight w:val="360"/>
          <w:tblCellSpacing w:w="0" w:type="dxa"/>
        </w:trPr>
        <w:tc>
          <w:tcPr>
            <w:tcW w:w="0" w:type="auto"/>
            <w:gridSpan w:val="3"/>
            <w:shd w:val="clear" w:color="auto" w:fill="4C7BAA"/>
            <w:hideMark/>
          </w:tcPr>
          <w:p w:rsidR="0099452E" w:rsidRPr="0099452E" w:rsidRDefault="0099452E" w:rsidP="0099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anchor="Card" w:history="1">
              <w:r w:rsidRPr="00994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Картка</w:t>
              </w:r>
            </w:hyperlink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> | </w:t>
            </w:r>
            <w:hyperlink r:id="rId8" w:anchor="Files" w:history="1">
              <w:r w:rsidRPr="00994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Документи</w:t>
              </w:r>
            </w:hyperlink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> | </w:t>
            </w:r>
            <w:hyperlink r:id="rId9" w:anchor="History" w:history="1">
              <w:r w:rsidRPr="00994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Iсторiя</w:t>
              </w:r>
            </w:hyperlink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> | </w:t>
            </w:r>
            <w:hyperlink r:id="rId10" w:anchor="Links" w:history="1">
              <w:r w:rsidRPr="00994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Пов'язанi док-ти</w:t>
              </w:r>
            </w:hyperlink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> | </w:t>
            </w:r>
            <w:hyperlink r:id="rId11" w:anchor="Public" w:history="1">
              <w:r w:rsidRPr="00994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Публiкацiї</w:t>
              </w:r>
            </w:hyperlink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> | </w:t>
            </w:r>
            <w:hyperlink r:id="rId12" w:history="1">
              <w:r w:rsidRPr="0099452E">
                <w:rPr>
                  <w:rFonts w:ascii="Times New Roman" w:eastAsia="Times New Roman" w:hAnsi="Times New Roman" w:cs="Times New Roman"/>
                  <w:color w:val="FFEE00"/>
                  <w:sz w:val="24"/>
                  <w:szCs w:val="24"/>
                  <w:u w:val="single"/>
                </w:rPr>
                <w:t>Те</w:t>
              </w:r>
              <w:proofErr w:type="gramStart"/>
              <w:r w:rsidRPr="0099452E">
                <w:rPr>
                  <w:rFonts w:ascii="Times New Roman" w:eastAsia="Times New Roman" w:hAnsi="Times New Roman" w:cs="Times New Roman"/>
                  <w:color w:val="FFEE00"/>
                  <w:sz w:val="24"/>
                  <w:szCs w:val="24"/>
                  <w:u w:val="single"/>
                </w:rPr>
                <w:t>кст дл</w:t>
              </w:r>
              <w:proofErr w:type="gramEnd"/>
              <w:r w:rsidRPr="0099452E">
                <w:rPr>
                  <w:rFonts w:ascii="Times New Roman" w:eastAsia="Times New Roman" w:hAnsi="Times New Roman" w:cs="Times New Roman"/>
                  <w:color w:val="FFEE00"/>
                  <w:sz w:val="24"/>
                  <w:szCs w:val="24"/>
                  <w:u w:val="single"/>
                </w:rPr>
                <w:t>я друку</w:t>
              </w:r>
            </w:hyperlink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45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94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452E" w:rsidRPr="0099452E" w:rsidRDefault="0099452E" w:rsidP="00994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52E">
        <w:rPr>
          <w:rFonts w:ascii="Times New Roman" w:eastAsia="Times New Roman" w:hAnsi="Times New Roman" w:cs="Times New Roman"/>
          <w:sz w:val="20"/>
          <w:szCs w:val="20"/>
        </w:rPr>
        <w:t xml:space="preserve">Документ </w:t>
      </w:r>
      <w:hyperlink r:id="rId13" w:history="1">
        <w:r w:rsidRPr="0099452E">
          <w:rPr>
            <w:rFonts w:ascii="Times New Roman" w:eastAsia="Times New Roman" w:hAnsi="Times New Roman" w:cs="Times New Roman"/>
            <w:b/>
            <w:bCs/>
            <w:color w:val="000000"/>
            <w:sz w:val="20"/>
            <w:u w:val="single"/>
          </w:rPr>
          <w:t>1225-2000-п</w:t>
        </w:r>
      </w:hyperlink>
      <w:r w:rsidRPr="0099452E">
        <w:rPr>
          <w:rFonts w:ascii="Times New Roman" w:eastAsia="Times New Roman" w:hAnsi="Times New Roman" w:cs="Times New Roman"/>
          <w:sz w:val="20"/>
          <w:szCs w:val="20"/>
        </w:rPr>
        <w:t>, остання редакц</w:t>
      </w:r>
      <w:proofErr w:type="gramStart"/>
      <w:r w:rsidRPr="0099452E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 w:rsidRPr="0099452E">
        <w:rPr>
          <w:rFonts w:ascii="Times New Roman" w:eastAsia="Times New Roman" w:hAnsi="Times New Roman" w:cs="Times New Roman"/>
          <w:sz w:val="20"/>
          <w:szCs w:val="20"/>
        </w:rPr>
        <w:t xml:space="preserve">я вiд </w:t>
      </w:r>
      <w:hyperlink r:id="rId14" w:anchor="Current" w:history="1">
        <w:r w:rsidRPr="0099452E">
          <w:rPr>
            <w:rFonts w:ascii="Times New Roman" w:eastAsia="Times New Roman" w:hAnsi="Times New Roman" w:cs="Times New Roman"/>
            <w:b/>
            <w:bCs/>
            <w:color w:val="008000"/>
            <w:sz w:val="20"/>
            <w:u w:val="single"/>
          </w:rPr>
          <w:t>27.05.2011</w:t>
        </w:r>
      </w:hyperlink>
      <w:r w:rsidRPr="0099452E">
        <w:rPr>
          <w:rFonts w:ascii="Times New Roman" w:eastAsia="Times New Roman" w:hAnsi="Times New Roman" w:cs="Times New Roman"/>
          <w:sz w:val="20"/>
          <w:szCs w:val="20"/>
        </w:rPr>
        <w:t xml:space="preserve"> на пiдставi </w:t>
      </w:r>
      <w:hyperlink r:id="rId15" w:history="1">
        <w:r w:rsidRPr="0099452E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518-2011-п</w:t>
        </w:r>
      </w:hyperlink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"/>
        <w:gridCol w:w="9261"/>
        <w:gridCol w:w="77"/>
      </w:tblGrid>
      <w:tr w:rsidR="0099452E" w:rsidRPr="0099452E" w:rsidTr="0099452E">
        <w:trPr>
          <w:tblCellSpacing w:w="0" w:type="dxa"/>
        </w:trPr>
        <w:tc>
          <w:tcPr>
            <w:tcW w:w="0" w:type="auto"/>
            <w:shd w:val="clear" w:color="auto" w:fill="7395BA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Рисунок 3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4C7BA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01"/>
            </w:tblGrid>
            <w:tr w:rsidR="0099452E" w:rsidRPr="0099452E">
              <w:trPr>
                <w:tblCellSpacing w:w="0" w:type="dxa"/>
              </w:trPr>
              <w:tc>
                <w:tcPr>
                  <w:tcW w:w="0" w:type="auto"/>
                  <w:shd w:val="clear" w:color="auto" w:fill="4C7BA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1"/>
                    <w:gridCol w:w="464"/>
                    <w:gridCol w:w="91"/>
                    <w:gridCol w:w="464"/>
                    <w:gridCol w:w="464"/>
                    <w:gridCol w:w="91"/>
                    <w:gridCol w:w="5929"/>
                    <w:gridCol w:w="91"/>
                    <w:gridCol w:w="464"/>
                    <w:gridCol w:w="464"/>
                    <w:gridCol w:w="91"/>
                    <w:gridCol w:w="87"/>
                  </w:tblGrid>
                  <w:tr w:rsidR="0099452E" w:rsidRPr="0099452E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3520" cy="223520"/>
                              <wp:effectExtent l="19050" t="0" r="5080" b="0"/>
                              <wp:docPr id="4" name="Рисунок 4" descr="Картка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Картка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520" cy="223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3520" cy="223520"/>
                              <wp:effectExtent l="19050" t="0" r="5080" b="0"/>
                              <wp:docPr id="5" name="Рисунок 5" descr="Пов'язанi документи">
                                <a:hlinkClick xmlns:a="http://schemas.openxmlformats.org/drawingml/2006/main" r:id="rId1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Пов'язанi документи">
                                        <a:hlinkClick r:id="rId1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520" cy="223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6D4E3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6" name="Рисунок 6" descr="http://zakonst.rada.gov.ua/images/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zakonst.rada.gov.ua/images/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3520" cy="223520"/>
                              <wp:effectExtent l="19050" t="0" r="5080" b="0"/>
                              <wp:docPr id="7" name="Рисунок 7" descr="Новий формат (тестується автоматичний алгоритм)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Новий формат (тестується автоматичний алгоритм)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520" cy="223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3520" cy="223520"/>
                              <wp:effectExtent l="19050" t="0" r="5080" b="0"/>
                              <wp:docPr id="8" name="Рисунок 8" descr="Структура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Структура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520" cy="223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6D4E3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9" name="Рисунок 9" descr="http://zakonst.rada.gov.ua/images/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zakonst.rada.gov.ua/images/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shd w:val="clear" w:color="auto" w:fill="EEF2F6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945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C6D4E3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0" name="Рисунок 10" descr="http://zakonst.rada.gov.ua/images/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zakonst.rada.gov.ua/images/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3520" cy="223520"/>
                              <wp:effectExtent l="19050" t="0" r="5080" b="0"/>
                              <wp:docPr id="11" name="Рисунок 11" descr="Пошук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Пошук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520" cy="223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3520" cy="223520"/>
                              <wp:effectExtent l="19050" t="0" r="5080" b="0"/>
                              <wp:docPr id="12" name="Рисунок 12" descr="Текст для друку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Текст для друку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520" cy="223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C6D4E3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3" name="Рисунок 13" descr="http://zakonst.rada.gov.ua/images/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zakonst.rada.gov.ua/images/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D4DEE8"/>
                        <w:vAlign w:val="center"/>
                        <w:hideMark/>
                      </w:tcPr>
                      <w:p w:rsidR="0099452E" w:rsidRPr="0099452E" w:rsidRDefault="0099452E" w:rsidP="009945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9452E" w:rsidRPr="0099452E" w:rsidRDefault="0099452E" w:rsidP="00994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95BA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4" name="Рисунок 14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52E" w:rsidRPr="0099452E" w:rsidRDefault="0099452E" w:rsidP="009945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75"/>
        <w:gridCol w:w="9205"/>
        <w:gridCol w:w="75"/>
      </w:tblGrid>
      <w:tr w:rsidR="0099452E" w:rsidRPr="0099452E" w:rsidTr="0099452E">
        <w:trPr>
          <w:tblCellSpacing w:w="0" w:type="dxa"/>
          <w:jc w:val="center"/>
        </w:trPr>
        <w:tc>
          <w:tcPr>
            <w:tcW w:w="75" w:type="dxa"/>
            <w:vMerge w:val="restart"/>
            <w:shd w:val="clear" w:color="auto" w:fill="7395BA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5" name="Рисунок 15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6" name="Рисунок 16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Merge w:val="restart"/>
            <w:shd w:val="clear" w:color="auto" w:fill="7395BA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7" name="Рисунок 17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2E" w:rsidRPr="0099452E" w:rsidTr="0099452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>Сторiнки:  </w:t>
            </w:r>
            <w:proofErr w:type="gramStart"/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[ </w:t>
            </w:r>
            <w:proofErr w:type="gramEnd"/>
            <w:r w:rsidRPr="009945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] </w:t>
            </w:r>
          </w:p>
        </w:tc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52E" w:rsidRPr="0099452E" w:rsidTr="0099452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8" name="Рисунок 18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52E" w:rsidRPr="0099452E" w:rsidRDefault="0099452E" w:rsidP="009945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22"/>
      </w:tblGrid>
      <w:tr w:rsidR="0099452E" w:rsidRPr="0099452E" w:rsidTr="0099452E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                             </w:t>
            </w:r>
            <w:r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drawing>
                <wp:inline distT="0" distB="0" distL="0" distR="0">
                  <wp:extent cx="574040" cy="765810"/>
                  <wp:effectExtent l="19050" t="0" r="0" b="0"/>
                  <wp:docPr id="19" name="Рисунок 19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                             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0" w:name="1"/>
            <w:bookmarkEnd w:id="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КАБІНЕТ МІНІ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СТР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ІВ УКРАЇНИ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" w:name="2"/>
            <w:bookmarkEnd w:id="1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      </w:t>
            </w:r>
            <w:proofErr w:type="gramStart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 О С Т А Н О В А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  <w:t xml:space="preserve">                   від 4 серпня 2000 р. N 1225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  <w:t xml:space="preserve">                               Київ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" w:name="3"/>
            <w:bookmarkEnd w:id="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Про затвердження Положення про порядок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іку,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зберігання, списання та використання військового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        майна у Збройних Силах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" w:name="4"/>
            <w:bookmarkEnd w:id="3"/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         { Із змінами, внесеними згідно з Постановами КМ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  <w:t xml:space="preserve">           N 1700 </w:t>
            </w:r>
            <w:proofErr w:type="gramStart"/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fldChar w:fldCharType="begin"/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instrText xml:space="preserve"> HYPERLINK "javascript:OpenDoc('1700-2006-п');" </w:instrTex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fldChar w:fldCharType="separate"/>
            </w:r>
            <w:r w:rsidRPr="0099452E">
              <w:rPr>
                <w:rFonts w:ascii="Courier New" w:eastAsia="Times New Roman" w:hAnsi="Courier New" w:cs="Courier New"/>
                <w:i/>
                <w:iCs/>
                <w:color w:val="0000FF"/>
                <w:sz w:val="20"/>
                <w:szCs w:val="20"/>
                <w:u w:val="single"/>
              </w:rPr>
              <w:t>1700-2006-п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fldChar w:fldCharType="end"/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 ) від 08.12.2006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  <w:t xml:space="preserve">           N  896 (  </w:t>
            </w:r>
            <w:hyperlink r:id="rId28" w:history="1">
              <w:r w:rsidRPr="0099452E">
                <w:rPr>
                  <w:rFonts w:ascii="Courier New" w:eastAsia="Times New Roman" w:hAnsi="Courier New" w:cs="Courier New"/>
                  <w:i/>
                  <w:iCs/>
                  <w:color w:val="0000FF"/>
                  <w:sz w:val="20"/>
                  <w:szCs w:val="20"/>
                  <w:u w:val="single"/>
                </w:rPr>
                <w:t>896-2009-п</w:t>
              </w:r>
            </w:hyperlink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 ) від 26.08.2009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  <w:t xml:space="preserve">           N  518 (  </w:t>
            </w:r>
            <w:hyperlink r:id="rId29" w:history="1">
              <w:r w:rsidRPr="0099452E">
                <w:rPr>
                  <w:rFonts w:ascii="Courier New" w:eastAsia="Times New Roman" w:hAnsi="Courier New" w:cs="Courier New"/>
                  <w:i/>
                  <w:iCs/>
                  <w:color w:val="0000FF"/>
                  <w:sz w:val="20"/>
                  <w:szCs w:val="20"/>
                  <w:u w:val="single"/>
                </w:rPr>
                <w:t>518-2011-п</w:t>
              </w:r>
            </w:hyperlink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 ) від 18.05.2011 }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  <w:t xml:space="preserve">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" w:name="5"/>
            <w:bookmarkEnd w:id="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Відповідно до статей 3 і 8 Закону України "Про правовий режим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майна у Збройних Силах України"  (  </w:t>
            </w:r>
            <w:hyperlink r:id="rId30" w:history="1">
              <w:r w:rsidRPr="009945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1075-14</w:t>
              </w:r>
            </w:hyperlink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)  Кабінет  Міні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стр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ів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України 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п о с т а н о в л я є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" w:name="6"/>
            <w:bookmarkEnd w:id="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1. Затвердити   Положення  про  порядок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іку,  зберігання,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списання та використання військового майна у  Збройних  Силах,  що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додається.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" w:name="7"/>
            <w:bookmarkEnd w:id="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2. Поширити   дію  затвердженого  згідно  з  пунктом  1  цієї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постанови Положення на інші утворені відповідно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до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законів України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військові  формування  та  Державну службу спеціального зв'язку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захисту інформації.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" w:name="8"/>
            <w:bookmarkEnd w:id="7"/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{  Пункт  2  із  змінами,  внесеними згідно з Постановою КМ N 1700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fldChar w:fldCharType="begin"/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instrText xml:space="preserve"> HYPERLINK "javascript:OpenDoc('1700-2006-п');" </w:instrTex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fldChar w:fldCharType="separate"/>
            </w:r>
            <w:r w:rsidRPr="0099452E">
              <w:rPr>
                <w:rFonts w:ascii="Courier New" w:eastAsia="Times New Roman" w:hAnsi="Courier New" w:cs="Courier New"/>
                <w:i/>
                <w:iCs/>
                <w:color w:val="0000FF"/>
                <w:sz w:val="20"/>
                <w:szCs w:val="20"/>
                <w:u w:val="single"/>
              </w:rPr>
              <w:t>1700-2006-п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fldChar w:fldCharType="end"/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 ) від 08.12.2006 }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  <w:t xml:space="preserve">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" w:name="9"/>
            <w:bookmarkEnd w:id="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Прем'єр-міні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стр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України                             В.ЮЩЕНКО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" w:name="10"/>
            <w:bookmarkEnd w:id="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Інд. 29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" w:name="11"/>
            <w:bookmarkEnd w:id="1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ЗАТВЕРДЖЕНО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               постановою Кабінету Міні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стр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ів України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                     від 4 серпня 2000 р. N 1225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" w:name="12"/>
            <w:bookmarkEnd w:id="11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           ПОЛОЖЕННЯ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  <w:t xml:space="preserve">                 про порядок </w:t>
            </w:r>
            <w:proofErr w:type="gramStart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іку, зберігання,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  <w:t xml:space="preserve">            списання та використання військового майна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  <w:t xml:space="preserve">                         у Збройних Силах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" w:name="13"/>
            <w:bookmarkEnd w:id="1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Загальні питання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" w:name="14"/>
            <w:bookmarkEnd w:id="1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1. Це Положення визначає порядок ведення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іку і  зберігання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військового майна,  закріпленого за військовими частинами Збройних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Сил, його списання та використання.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4" w:name="15"/>
            <w:bookmarkEnd w:id="1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2. У цьому Положенні поняття "військове майно"  і  "військова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частина" вживаються  у значеннях,  наведених у Законі України "Про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правовий режим майна у Збройних Силах України"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begin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instrText xml:space="preserve"> HYPERLINK "javascript:OpenDoc('1075-14');" </w:instrTex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separate"/>
            </w:r>
            <w:r w:rsidRPr="0099452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>1075-14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end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).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5" w:name="16"/>
            <w:bookmarkEnd w:id="1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Для цілей цього Положення використовуються  також  поняття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такому значенні: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6" w:name="17"/>
            <w:bookmarkEnd w:id="1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військове майно  непорушних  запасів  - військове майно,  яке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призначене для використання  в  особливий  період  і  перебуває  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мирний час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на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довгостроковому зберіганні у військових частинах;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7" w:name="18"/>
            <w:bookmarkEnd w:id="1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інспекторське посвідчення  - документ,  яким надається дозвіл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 списання в  установленому  порядку  військового  майна  у  разі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віднесення  заподіяної  шкоди  повністю  або  частково  на рахунок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держави за неможливості відшкодування його  повної  або  часткової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вартості за рахунок винних осіб;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End"/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8" w:name="19"/>
            <w:bookmarkEnd w:id="1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непридатний стан військового майна - якісний (технічний) стан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військового майна,  за якого це майно неможливо використовувати за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цільовим та функціональним призначенням;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9" w:name="20"/>
            <w:bookmarkEnd w:id="1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об'єкти військового  (корабельного)  господарства  - усі види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об'єктів господарського,  технічного,  медичного,  ветеринарного 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спеціального  призначення,  об'єкти  бойової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ідготовки,  виховної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роботи, допоміжні об'єкти тощо;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0" w:name="21"/>
            <w:bookmarkEnd w:id="2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рух військового  майна  -  прийняття,   видача,   витрачання,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передача   (здавання)  та  списання  військового  майна  згідно  з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іковими документами;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1" w:name="22"/>
            <w:bookmarkEnd w:id="2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служби забезпечення органів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ійськового управління - головні,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центральні  та  інші управління і служби Міноборони,  управління 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служби  видів  Збройних Сил, оперативних командувань, з'єднань, 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які   покладаються   функції  матеріально-технічного  забезпечення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військових частин. { Абзац пункту 2 із змінами, внесеними згідно з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Постановою КМ N 896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begin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instrText xml:space="preserve"> HYPERLINK "javascript:OpenDoc('896-2009-п');" </w:instrTex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separate"/>
            </w:r>
            <w:r w:rsidRPr="0099452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>896-2009-п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end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) від 26.08.2009 }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2" w:name="23"/>
            <w:bookmarkEnd w:id="2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3. Міноборони як центральний орган  управління  Збройних  Сил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закріплює  згідно із законодавством військове майно за військовими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частинами на праві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управління,  про що ним  видаються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відповідні акти.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3" w:name="24"/>
            <w:bookmarkEnd w:id="2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Військове   майно,  яке  передано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ідприємствам  (установам)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незалежно  від  форми  власності  для проведення ремонту, освоєння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ремонту,  модернізації,  дослідження технічного стану, спеціальних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перевірок,  зберігання,  обліковується  у  військових частинах, за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якими   воно   закріплене.   Про   умови  передачі  та  повернення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військового  майна зазначається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відповідних договорах. { Пункт 3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доповнено  абзацом згідно з Постановою КМ N 518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begin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instrText xml:space="preserve"> HYPERLINK "javascript:OpenDoc('518-2011-п');" </w:instrTex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separate"/>
            </w:r>
            <w:r w:rsidRPr="0099452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>518-2011-п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end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) від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18.05.2011 }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4" w:name="25"/>
            <w:bookmarkEnd w:id="2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4. Служби   забезпечення  органів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ійськового  управління  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військові частини ведуть облік  військового  майна  у  кількісних,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якісних, обліково-номерних та вартісних показниках за відповідними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службами  -  продовольчою,   речовою,   квартирно-експлуатаційною,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пально-мастильних матеріалів тощо.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5" w:name="26"/>
            <w:bookmarkEnd w:id="2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5. Військові   частини   використовують  закріплене  за  ними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військове  майно  виключно  за  його  цільовим  та  функціональним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призначенням.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6" w:name="27"/>
            <w:bookmarkEnd w:id="26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             Порядок </w:t>
            </w:r>
            <w:proofErr w:type="gramStart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іку військового майна </w:t>
            </w:r>
            <w:r w:rsidRPr="0099452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7" w:name="28"/>
            <w:bookmarkEnd w:id="2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6.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  військового  майна ведеться з метою отримання даних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 його наявність,  втрату,  нестачу,  рух,  вартість та  якісний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(технічний)       стан,       необхідних      для      організації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матеріально-технічного     забезпечення     військових     частин,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встановлення належного контролю за умовами зберігання, доцільністю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та ефективністю його використання (витрачання),  а також  з  метою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підготовки  даних  для складення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ікових документів та державної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статистичної звітності.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8" w:name="29"/>
            <w:bookmarkEnd w:id="2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7.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іку підлягає все військове  майно  незалежно  від  його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призначення та джерел надходження.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 військового майна повинен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бути своєчасним, достовірним і точним.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29" w:name="30"/>
            <w:bookmarkEnd w:id="2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Військове майно непорушних запасів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іковується  окремо  від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іншого військового майна.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0" w:name="31"/>
            <w:bookmarkEnd w:id="3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8. Облік військового майна ведеться як у мирний час,  так і в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особливий   період   на   об'єктах   військового    (корабельного)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господарства,   у   службах   забезпечення   органів 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управління,  службах військових частин  і  з'єднань,  на  складах,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базах,  в  арсеналах  згідно  з  цим  Положенням  та  відповідними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нормативно-правовими актами 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1" w:name="32"/>
            <w:bookmarkEnd w:id="3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9.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   військового   майна   ведеться    шляхом    запису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(відображення)  в  книгах  (картках)  обліку,  інших  матеріальних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носіях інформації (далі - облікові документи) даних про кількість,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якісний (технічний) стан,  облікові та заводські номери,  вартість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(ціну) військового майна, а також про його рух, втрату та нестачу.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2" w:name="33"/>
            <w:bookmarkEnd w:id="3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10.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  військового   майна   у   випадках,   передбачених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законодавством,  ведеться  з  дотриманням  вимог щодо забезпечення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збереження державної таємниці.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3" w:name="34"/>
            <w:bookmarkEnd w:id="3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11. Кількісний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 військового майна ведеться в натуральних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показниках і відповідних одиницях виміру.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4" w:name="35"/>
            <w:bookmarkEnd w:id="3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Вартісний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  військового  майна  ведеться  в національній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валюті України.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5" w:name="36"/>
            <w:bookmarkEnd w:id="3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Вартість військового майна станом на момент його  надходження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  сфери управління Міноборони визначається за його закупівельною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ціною або за вартістю (ціною),  зазначеною  в  укладених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на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його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виготовлення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та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поставку договорах.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6" w:name="37"/>
            <w:bookmarkEnd w:id="3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Вартість військового   майна,   що   перебуває  у  військових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частинах і закріплене за ними на  праві  оперативного  управління,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визначається  за  Методикою  визначення  залишкової вартості майна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Збройних Сил України та інших військових  формувань,  затвердженою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постановою  Кабінету Міні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стр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ів України від 28 травня 1998 р. N 759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  </w:t>
            </w:r>
            <w:hyperlink r:id="rId31" w:history="1">
              <w:r w:rsidRPr="009945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759-98-п</w:t>
              </w:r>
            </w:hyperlink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),  за  винятком  випадків, коли вартість військового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майна  визначається на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ідставі звіту про оцінку майна, складеного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відповідно  до  Закону України "Про оцінку майна, майнових прав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професійну  оціночну  діяльність  в  Україні" ( </w:t>
            </w:r>
            <w:hyperlink r:id="rId32" w:history="1">
              <w:r w:rsidRPr="009945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2658-14</w:t>
              </w:r>
            </w:hyperlink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). { Абзац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четвертий  пункту  11 із змінами, внесеними згідно з Постановою КМ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N 518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begin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instrText xml:space="preserve"> HYPERLINK "javascript:OpenDoc('518-2011-п');" </w:instrTex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separate"/>
            </w:r>
            <w:r w:rsidRPr="0099452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</w:rPr>
              <w:t>518-2011-п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fldChar w:fldCharType="end"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) від 18.05.2011 }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7" w:name="38"/>
            <w:bookmarkEnd w:id="3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За якісним (технічним) станом військове  майно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іковується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за категоріями (не більше п'яти), ступенями придатності (придатні,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непридатні) або за сортом відповідно до державних стандартів.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8" w:name="39"/>
            <w:bookmarkEnd w:id="3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12. Нормативно-правові акти з питань організації  та  ведення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обліку  військового  майна,  визначення його категорій та ступенів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придатності,  повноважень  і  відповідальності   посадових   осіб,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порядку  контролю  за  обліком військового майна,  а також перелік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видів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ійськового майна,  облік якого ведеться в обліково-номерних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показниках, затверджуються 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39" w:name="40"/>
            <w:bookmarkEnd w:id="3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Зберігання та використання військового майна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0" w:name="41"/>
            <w:bookmarkEnd w:id="4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13. Військове   майно   зберігається   з  дотриманням  вимог,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передбачених документацією  заводів-виробників.  Умови  зберігання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цього   майна  повинні  забезпечувати  збереження  його  належного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якісного  (технічного)  стану,  виключати  можливість  втрати  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відповідати вимогам вибухопожежобезпеки.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1" w:name="42"/>
            <w:bookmarkEnd w:id="4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14. Експлуатація   військового  майна  повинна  здійснюватися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відповідно до вимог документації заводів-виробникі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2" w:name="43"/>
            <w:bookmarkEnd w:id="4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15. Порядок    зберігання,    використання    і    технічного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обслуговування  військового  майна визначається статутами Збройних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Сил,  цим Положенням,  нормативно-правовими актами і  нормативними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документами Міноборони та документацією заводів-виробникі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3" w:name="44"/>
            <w:bookmarkEnd w:id="4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Списання військового майна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4" w:name="45"/>
            <w:bookmarkEnd w:id="4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16. Списання  військового майна,  закріпленого за військовими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частинами, здійснюється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разі: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5" w:name="46"/>
            <w:bookmarkEnd w:id="4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набуття непридатного стану (за неможливості  або  економічної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недоцільності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його 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ідновлення і використання);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6" w:name="47"/>
            <w:bookmarkEnd w:id="4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убутку в межах затверджених норм;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7" w:name="48"/>
            <w:bookmarkEnd w:id="4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втрати чи нестачі;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8" w:name="49"/>
            <w:bookmarkEnd w:id="4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використання на  виробничі,  господарські  та  експлуатаційні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потреби в межах установлених норм,  у  тому  числі  на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ідготовку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зброї  (боєприпасів) до зберігання або застосування,  виготовлення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сумішей,   проведення   аналізу,    виконання    будівельних   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будівельно-монтажних робіт;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49" w:name="50"/>
            <w:bookmarkEnd w:id="4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знесення будівель    і    споруд   через   недоцільність   їх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використання та з метою будівництва на їх місці нових об'єкті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0" w:name="51"/>
            <w:bookmarkEnd w:id="5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У  разі  коли  військове  майно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ідлягає утилізації згідно з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міжнародними  договорами,  згода  на  обов'язковість  яких  надана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Верховною  Радою  України,  його  списання  може  здійснюватися 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підставі  та  на умовах зазначених договорів. { Пункт 16 доповнено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абзацом   згідно  з  Постановою  КМ  N  518  (  </w:t>
            </w:r>
            <w:hyperlink r:id="rId33" w:history="1">
              <w:r w:rsidRPr="009945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518-2011-п</w:t>
              </w:r>
            </w:hyperlink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)  від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18.05.2011 }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1" w:name="52"/>
            <w:bookmarkEnd w:id="5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17. Закінчення установленого терміну служби військового майна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  може  бути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ідставою  для  його  списання,  якщо  це майно ще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придатне для використання  за  цільовим  призначенням  і  подальше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використання такого  майна не заборонено відповідною документацією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заводів-виробників або нормативно-правовими актами і  нормативними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документами 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2" w:name="53"/>
            <w:bookmarkEnd w:id="5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18. Списання військового майна проводиться за актами якісного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(технічного) стану,  інспекторськими посвідченнями  та  за  актами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списання.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3" w:name="54"/>
            <w:bookmarkEnd w:id="5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Затверджений акт  якісного (технічного) стану,  інспекторське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посвідчення та акт списання є підставою для  списання  військового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майна  з  обліку  шляхом  внесення  відповідних записів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облікові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документи.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4" w:name="55"/>
            <w:bookmarkEnd w:id="5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Міноборони може встановлювати інший порядок списання  окремих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видів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ійськового майна залежно від способів його витрачання.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5" w:name="56"/>
            <w:bookmarkEnd w:id="5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19. Списання    військового    майна   за   актами   якісного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(технічного) стану та  інспекторськими  посвідченнями  проводиться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командирами  (начальниками) військових частин і посадовими особами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органів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ійськового управління  відповідно  до  їх  компетенції  в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порядку, встановленому 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6" w:name="57"/>
            <w:bookmarkEnd w:id="5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20. За актами якісного (технічного) стану списується: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7" w:name="58"/>
            <w:bookmarkEnd w:id="5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військове майно,  яке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іковується  за  обліково-номерними,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якісними (технічними)  показниками  і  набуло  непридатного  стану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після  закінчення  установлених  термінів  його  служби  (носіння,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використання),   вироблення   технічного    ресурсу,    проведення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випробувань  або  дослідних робіт,  а також із закінченим терміном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зберігання в запасі (резерві) за  неможливості  його  ремонту  або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використання за цільовим призначенням;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8" w:name="59"/>
            <w:bookmarkEnd w:id="5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військове майно   безстрокового   використання,   яке  набуло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непридатного стану у процесі експлуатації,  за  неможливості  його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подальшого використання за цільовим призначенням;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59" w:name="60"/>
            <w:bookmarkEnd w:id="5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лікарські засоби  (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тому  числі наркотичні,  психотропні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отруйні),  імунобіологічні  препарати  та  хімічні  реактиви,  які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набули непридатного стану.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0" w:name="61"/>
            <w:bookmarkEnd w:id="6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21. Втрачене  або знищене військове майно та його нестача,  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також майно,  яке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іковується  за  обліково-номерними,  якісними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(технічними)   показниками  і  набуло  непридатного  стану  раніше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установленого  терміну  його   служби,   носіння   (використання),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вироблення технічного  ресурсу  (далі - втрачене військове майно),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якщо  згідно  із  законодавством  заподіяна  шкода  повністю   або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частково   відноситься   на   рахунок   держави   за  неможливості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відшкодування його повної або часткової вартості за рахунок винних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осіб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списується за інспекторськими посвідченнями.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1" w:name="62"/>
            <w:bookmarkEnd w:id="6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Перелік випадків,  у  яких  списання  втраченого  військового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майна здійснюється за інспекторськими  посвідченнями,  та  перелі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документів,   які   подаються   для   отримання   цих  посвідчень,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визначаються 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2" w:name="63"/>
            <w:bookmarkEnd w:id="6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У разі повного відшкодування вартості втраченого  військового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майна  винними особами добровільно або за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ішенням суду таке майно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списується  за  актами  якісного  (технічного)  стану  або  актами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списання без інспекторського посвідчення у порядку,  затвердженому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3" w:name="64"/>
            <w:bookmarkEnd w:id="6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22. За актами списання списується  військове  майно,  яке  не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іковується   за   обліково-номерними,   якісними   (технічними)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показниками і набуло непридатного  стану,  майно,  використане  за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встановленими нормами     на    регламентні    роботи,    технічне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обслуговування,   витрачене   на   виробничі,   господарські   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експлуатаційні потреби,  будівлі і споруди, що підлягають знесенню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через недоцільність їх використання,  а також  убуток  військового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майна  та  інше  майно,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яке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не  списується  за  актами  якісного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(технічного) стану,  за  інспекторськими  посвідченнями  і  набуло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непридатного стану.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4" w:name="65"/>
            <w:bookmarkEnd w:id="6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23. Для    визначення    непридатності   військового   майна,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встановлення неможливості або економічної недоцільності проведення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його   відновного  ремонту,  а  також  для  оформлення  необхідної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документації на  списання  майна  наказом  командира  (начальника)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військової  частини або командира (начальника) вищого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івня щороку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утворюється комісія  із  списання  військового   майна   (далі   -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комісія).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5" w:name="66"/>
            <w:bookmarkEnd w:id="6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До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складу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комісії   включаються  військовослужбовці  та/або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працівники Збройних Сил з належним досвідом роботи  і  обов'язково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начальник відповідного фінансового органу.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6" w:name="67"/>
            <w:bookmarkEnd w:id="6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У разі  потреби  до  складу  комісії включаються представники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органів  виконавчої  влади,  органів   місцевого   самоврядування,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ідприємств,   установ   та   організацій  (за  погодженням  з  їх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керівниками).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7" w:name="68"/>
            <w:bookmarkEnd w:id="6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Комі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я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зобов'язана: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8" w:name="69"/>
            <w:bookmarkEnd w:id="6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провести огляд військового майна,  використовуючи  при  цьому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дані  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ікових   документів,   а   також   необхідну   технічну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документацію;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69" w:name="70"/>
            <w:bookmarkEnd w:id="6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встановити можливість   або   неможливість   відновлення    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подальшого   використання   військового   майна   за  цільовим 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функціональним призначенням,  а також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ідготувати  пропозиції  про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його списання, передачу або продаж;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0" w:name="71"/>
            <w:bookmarkEnd w:id="7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встановити конкретні   причини  списання  військового  майна,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можливість використання його окремих агрегатів, вузлів, деталей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матер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іалів;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1" w:name="72"/>
            <w:bookmarkEnd w:id="7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визначити залишкову вартість військового майна;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2" w:name="73"/>
            <w:bookmarkEnd w:id="7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встановити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осіб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 з  вини яких допущено втрату або передчасне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зіпсуття військового майна;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3" w:name="74"/>
            <w:bookmarkEnd w:id="7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здійснити контроль  за  вилученням  із  списаного військового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майна придатних агрегатів,  вузлів,  деталей та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матер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іалів і за їх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передачею на місце зберігання.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4" w:name="75"/>
            <w:bookmarkEnd w:id="7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За результатами своєї роботи комісією складаються і подаються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на затвердження акти списання військового майна.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5" w:name="76"/>
            <w:bookmarkEnd w:id="7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24. Максимальні  розміри  кошті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на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які   посадові   особи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Збройних  Сил  мають  право  списувати  військове  майно за актами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якісного (технічного) стану,  інспекторськими посвідченнями та  за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актами списання встановлюються згідно з додатком.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6" w:name="77"/>
            <w:bookmarkEnd w:id="7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25. Посадові  особи  Збройних  Сил,  які видали інспекторські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посвідчення,  затвердили акт якісного (технічного) стану  або  акт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списання військового майна,  голова та члени комісії,  які ці акти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ідписали,  несуть відповідальність згідно  із  законодавством  за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правильність  висновку  щодо  списання  військового  майна та його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подальшого використання (призначення).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7" w:name="78"/>
            <w:bookmarkEnd w:id="7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26. Відчужене (реалізоване) військове майно,  а також  майно,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яке  безоплатно  передане  до  сфери управління державних органів,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уповноважених  управляти   державним   майном,   або   самоврядних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організацій,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ідлягає  списанню  з обліку на підставі відповідних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актів приймання-передачі цього майна.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8" w:name="79"/>
            <w:bookmarkEnd w:id="7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27. Списане військове майно,  яке непридатне  для  навчальних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цілей,  реалізації,  розбирання  з  метою  використання  придатних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агрегатів,  вузлів,  деталей та матеріалів,  береться на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обл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ік  як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металобрухт,  ганчір'я та інші вторинні ресурси, що реалізуються в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установленому порядку.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79" w:name="80"/>
            <w:bookmarkEnd w:id="7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28. Списане  військове  майно,  яке  є  матеріальним   носієм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секретної   інформації, 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ідлягає  поверненню  заводам-виробникам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(ремонтним підприємствам Міноборони) без розбирання або знищується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 порядку, установленому 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0" w:name="81"/>
            <w:bookmarkEnd w:id="8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У разі здавання в металобрухт таке військове майно (агрегати,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вузли,  деталі) в  установленому  Міноборони  порядку  обов'язково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деформується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до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стану, який не дає змоги з'ясувати його цільове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функціональне призначення, конструкцію та виробника.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1" w:name="82"/>
            <w:bookmarkEnd w:id="8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29. Командири (начальники) мають  право  скасовувати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ішення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   списання   військового   майна,   прийняті  підпорядкованими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посадовими особами,  анулювати видані інспекторські посвідчення та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призначати  повторне  розслідування щодо виявлених причин та осіб,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винних у втраті військового майна.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2" w:name="83"/>
            <w:bookmarkEnd w:id="8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30. У  процесі   проведення   інвентаризації,   ревізії   або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перев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ірки фінансової та господарської діяльності військових частин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обов'язково перевіряється правильність  і  правомірність  списання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військового   майна   за   актами   якісного  (технічного)  стану,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інспекторськими посвідченнями та за актами списання.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3" w:name="84"/>
            <w:bookmarkEnd w:id="8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Перерозподіл військового майна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4" w:name="85"/>
            <w:bookmarkEnd w:id="8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31. Перерозподіл  військового  майна  у  Збройних  Силах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між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військовими   частинами,   які  формуються,  переформовуються  або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розформовуються,  а також в інших випадках  відповідно  до  потреб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Збройних Сил провадиться 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5" w:name="86"/>
            <w:bookmarkEnd w:id="8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Додаток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                      до Положення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    (у редакції постанови Кабінету Міні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стр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ів України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       від 18 травня 2011 р. N 518 ( </w:t>
            </w:r>
            <w:hyperlink r:id="rId34" w:history="1">
              <w:r w:rsidRPr="009945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</w:rPr>
                <w:t>518-2011-п</w:t>
              </w:r>
            </w:hyperlink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)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6" w:name="87"/>
            <w:bookmarkEnd w:id="8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Максимальні розміри кошті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на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які посадові особи Збройних Сил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мають право списувати військове майно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    за актами якісного (технічного) стану,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інспекторськими посвідченнями та за актами списання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7" w:name="88"/>
            <w:bookmarkEnd w:id="8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------------------------------------------------------------------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8" w:name="89"/>
            <w:bookmarkEnd w:id="8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Посада          |   Вартість за одиницю військового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89" w:name="90"/>
            <w:bookmarkEnd w:id="8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                |     майна або за одним актом у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0" w:name="91"/>
            <w:bookmarkEnd w:id="9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                |     неоподатковуваних мінімумах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1" w:name="92"/>
            <w:bookmarkEnd w:id="9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                |          доходів громадян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2" w:name="93"/>
            <w:bookmarkEnd w:id="9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                |------------------------------------|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3" w:name="94"/>
            <w:bookmarkEnd w:id="9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                |за актом якісного |за інспекторським|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4" w:name="95"/>
            <w:bookmarkEnd w:id="9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                |(технічного) стану|  посвідченням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5" w:name="96"/>
            <w:bookmarkEnd w:id="9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                           |та актом списання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6" w:name="97"/>
            <w:bookmarkEnd w:id="9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|---------------------------+------------------+-----------------|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7" w:name="98"/>
            <w:bookmarkEnd w:id="9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|Командир окремої роти, інші|       300        |      150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8" w:name="99"/>
            <w:bookmarkEnd w:id="9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|командири (начальники)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99" w:name="100"/>
            <w:bookmarkEnd w:id="9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|військових частин, установ,|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0" w:name="101"/>
            <w:bookmarkEnd w:id="10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|організацій Збройних Сил,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1" w:name="102"/>
            <w:bookmarkEnd w:id="10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|військових навчальних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2" w:name="103"/>
            <w:bookmarkEnd w:id="10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ідрозділів вищих    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3" w:name="104"/>
            <w:bookmarkEnd w:id="10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|навчальних закладі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, які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4" w:name="105"/>
            <w:bookmarkEnd w:id="10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|ведуть військове     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5" w:name="106"/>
            <w:bookmarkEnd w:id="10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|(корабельне) господарство,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6" w:name="107"/>
            <w:bookmarkEnd w:id="10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|керівник представництва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7" w:name="108"/>
            <w:bookmarkEnd w:id="10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|державного замовника з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8" w:name="109"/>
            <w:bookmarkEnd w:id="10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|оборонного замовлення на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09" w:name="110"/>
            <w:bookmarkEnd w:id="10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ідприємстві, в установі,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0" w:name="111"/>
            <w:bookmarkEnd w:id="11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|організації, для яких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1" w:name="112"/>
            <w:bookmarkEnd w:id="11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|штатом передбачено   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2" w:name="113"/>
            <w:bookmarkEnd w:id="11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|військове звання від майора|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3" w:name="114"/>
            <w:bookmarkEnd w:id="11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|(капітана 3 рангу)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до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4" w:name="115"/>
            <w:bookmarkEnd w:id="114"/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|полковника (капітана       |                  |                 |</w:t>
            </w:r>
            <w:proofErr w:type="gramEnd"/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5" w:name="116"/>
            <w:bookmarkEnd w:id="115"/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|1 рангу) включно           |                  |                 |</w:t>
            </w:r>
            <w:proofErr w:type="gramEnd"/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6" w:name="117"/>
            <w:bookmarkEnd w:id="11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|---------------------------+------------------+-----------------|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7" w:name="118"/>
            <w:bookmarkEnd w:id="11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|Командири (начальники)     |      1500        |      750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8" w:name="119"/>
            <w:bookmarkEnd w:id="11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|вищого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івня відносно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19" w:name="120"/>
            <w:bookmarkEnd w:id="11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|зазначених посадових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осіб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,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0" w:name="121"/>
            <w:bookmarkEnd w:id="12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|їх заступники, яким  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1" w:name="122"/>
            <w:bookmarkEnd w:id="12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ідпорядковуються служби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2" w:name="123"/>
            <w:bookmarkEnd w:id="12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|забезпечення, начальники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3" w:name="124"/>
            <w:bookmarkEnd w:id="12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|служб забезпечення органі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4" w:name="125"/>
            <w:bookmarkEnd w:id="12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|військового управління,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5" w:name="126"/>
            <w:bookmarkEnd w:id="12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|керівники структурних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6" w:name="127"/>
            <w:bookmarkEnd w:id="12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ідрозділів Генерального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7" w:name="128"/>
            <w:bookmarkEnd w:id="12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|штабу Збройних Сил та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8" w:name="129"/>
            <w:bookmarkEnd w:id="128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|Міністерства оборони, перші|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29" w:name="130"/>
            <w:bookmarkEnd w:id="129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|заступники та заступники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0" w:name="131"/>
            <w:bookmarkEnd w:id="130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|начальника Генерального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1" w:name="132"/>
            <w:bookmarkEnd w:id="131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|Штабу Збройних Сил та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2" w:name="133"/>
            <w:bookmarkEnd w:id="132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|Міністра оборони відповідно|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3" w:name="134"/>
            <w:bookmarkEnd w:id="133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|до їх компетенції*         |                  |             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4" w:name="135"/>
            <w:bookmarkEnd w:id="134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|---------------------------+------------------+-----------------|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5" w:name="136"/>
            <w:bookmarkEnd w:id="135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|Міні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стр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оборони            |    понад 1500    |    понад 750    |</w:t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6" w:name="137"/>
            <w:bookmarkEnd w:id="136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------------------------------------------------------------------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7" w:name="138"/>
            <w:bookmarkEnd w:id="137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_______________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* Конкретні розміри кошті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в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 </w:t>
            </w:r>
            <w:proofErr w:type="gramStart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>на</w:t>
            </w:r>
            <w:proofErr w:type="gramEnd"/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які посадові  особи  Збройних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Сил  мають  право списувати військове майно,  визначаються наказом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Міноборони. </w:t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</w:p>
          <w:p w:rsidR="0099452E" w:rsidRPr="0099452E" w:rsidRDefault="0099452E" w:rsidP="00994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138" w:name="139"/>
            <w:bookmarkEnd w:id="138"/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{  Додаток  в  редакції  Постанови  КМ  N  518  ( </w:t>
            </w:r>
            <w:hyperlink r:id="rId35" w:history="1">
              <w:r w:rsidRPr="0099452E">
                <w:rPr>
                  <w:rFonts w:ascii="Courier New" w:eastAsia="Times New Roman" w:hAnsi="Courier New" w:cs="Courier New"/>
                  <w:i/>
                  <w:iCs/>
                  <w:color w:val="0000FF"/>
                  <w:sz w:val="20"/>
                  <w:szCs w:val="20"/>
                  <w:u w:val="single"/>
                </w:rPr>
                <w:t>518-2011-п</w:t>
              </w:r>
            </w:hyperlink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t xml:space="preserve"> ) від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  <w:t xml:space="preserve">18.05.2011 } </w:t>
            </w:r>
            <w:r w:rsidRPr="0099452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</w:rPr>
              <w:br/>
            </w:r>
            <w:r w:rsidRPr="0099452E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9452E">
              <w:rPr>
                <w:rFonts w:ascii="Courier New" w:eastAsia="Times New Roman" w:hAnsi="Courier New" w:cs="Courier New"/>
                <w:i/>
                <w:iCs/>
                <w:color w:val="FFFFFF"/>
                <w:sz w:val="20"/>
                <w:szCs w:val="20"/>
              </w:rPr>
              <w:t xml:space="preserve">( Тeкcт </w:t>
            </w:r>
            <w:proofErr w:type="gramStart"/>
            <w:r w:rsidRPr="0099452E">
              <w:rPr>
                <w:rFonts w:ascii="Courier New" w:eastAsia="Times New Roman" w:hAnsi="Courier New" w:cs="Courier New"/>
                <w:i/>
                <w:iCs/>
                <w:color w:val="FFFFFF"/>
                <w:sz w:val="20"/>
                <w:szCs w:val="20"/>
              </w:rPr>
              <w:t>п</w:t>
            </w:r>
            <w:proofErr w:type="gramEnd"/>
            <w:r w:rsidRPr="0099452E">
              <w:rPr>
                <w:rFonts w:ascii="Courier New" w:eastAsia="Times New Roman" w:hAnsi="Courier New" w:cs="Courier New"/>
                <w:i/>
                <w:iCs/>
                <w:color w:val="FFFFFF"/>
                <w:sz w:val="20"/>
                <w:szCs w:val="20"/>
              </w:rPr>
              <w:t>ідготовлено Відділом баз данних НПД УКС ВР )</w:t>
            </w:r>
          </w:p>
        </w:tc>
      </w:tr>
    </w:tbl>
    <w:p w:rsidR="0099452E" w:rsidRPr="0099452E" w:rsidRDefault="0099452E" w:rsidP="009945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75"/>
        <w:gridCol w:w="9205"/>
        <w:gridCol w:w="75"/>
      </w:tblGrid>
      <w:tr w:rsidR="0099452E" w:rsidRPr="0099452E" w:rsidTr="0099452E">
        <w:trPr>
          <w:tblCellSpacing w:w="0" w:type="dxa"/>
          <w:jc w:val="center"/>
        </w:trPr>
        <w:tc>
          <w:tcPr>
            <w:tcW w:w="75" w:type="dxa"/>
            <w:vMerge w:val="restart"/>
            <w:shd w:val="clear" w:color="auto" w:fill="7395BA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0" name="Рисунок 20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1" name="Рисунок 21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Merge w:val="restart"/>
            <w:shd w:val="clear" w:color="auto" w:fill="7395BA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2" name="Рисунок 22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2E" w:rsidRPr="0099452E" w:rsidTr="0099452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>Сторiнки:  </w:t>
            </w:r>
            <w:proofErr w:type="gramStart"/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[ </w:t>
            </w:r>
            <w:proofErr w:type="gramEnd"/>
            <w:r w:rsidRPr="0099452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] </w:t>
            </w:r>
          </w:p>
        </w:tc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52E" w:rsidRPr="0099452E" w:rsidTr="0099452E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3" name="Рисунок 23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0F0F0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52E" w:rsidRPr="0099452E" w:rsidRDefault="0099452E" w:rsidP="0099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Find"/>
      <w:bookmarkEnd w:id="139"/>
    </w:p>
    <w:tbl>
      <w:tblPr>
        <w:tblW w:w="0" w:type="auto"/>
        <w:jc w:val="center"/>
        <w:tblCellSpacing w:w="0" w:type="dxa"/>
        <w:shd w:val="clear" w:color="auto" w:fill="4C7B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1"/>
      </w:tblGrid>
      <w:tr w:rsidR="0099452E" w:rsidRPr="0099452E" w:rsidTr="0099452E">
        <w:trPr>
          <w:tblCellSpacing w:w="0" w:type="dxa"/>
          <w:jc w:val="center"/>
        </w:trPr>
        <w:tc>
          <w:tcPr>
            <w:tcW w:w="0" w:type="auto"/>
            <w:shd w:val="clear" w:color="auto" w:fill="4C7BAA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/>
            </w:tblPr>
            <w:tblGrid>
              <w:gridCol w:w="71"/>
              <w:gridCol w:w="356"/>
              <w:gridCol w:w="3161"/>
              <w:gridCol w:w="3893"/>
              <w:gridCol w:w="320"/>
            </w:tblGrid>
            <w:tr w:rsidR="0099452E" w:rsidRPr="0099452E">
              <w:trPr>
                <w:trHeight w:val="420"/>
                <w:tblCellSpacing w:w="0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99452E" w:rsidRPr="0099452E" w:rsidRDefault="0099452E" w:rsidP="00994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" w:type="dxa"/>
                  <w:shd w:val="clear" w:color="auto" w:fill="F0F0F0"/>
                  <w:noWrap/>
                  <w:vAlign w:val="center"/>
                  <w:hideMark/>
                </w:tcPr>
                <w:p w:rsidR="0099452E" w:rsidRPr="0099452E" w:rsidRDefault="0099452E" w:rsidP="00994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8590" cy="138430"/>
                        <wp:effectExtent l="19050" t="0" r="3810" b="0"/>
                        <wp:docPr id="24" name="Рисунок 24" descr="Пошу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Пошу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0"/>
                  <w:noWrap/>
                  <w:vAlign w:val="center"/>
                  <w:hideMark/>
                </w:tcPr>
                <w:p w:rsidR="0099452E" w:rsidRPr="0099452E" w:rsidRDefault="0099452E" w:rsidP="00994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Знайти слова на стор</w:t>
                  </w:r>
                  <w:proofErr w:type="gramStart"/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gramEnd"/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нцi: </w:t>
                  </w:r>
                </w:p>
              </w:tc>
              <w:tc>
                <w:tcPr>
                  <w:tcW w:w="0" w:type="auto"/>
                  <w:shd w:val="clear" w:color="auto" w:fill="F0F0F0"/>
                  <w:noWrap/>
                  <w:vAlign w:val="center"/>
                  <w:hideMark/>
                </w:tcPr>
                <w:p w:rsidR="0099452E" w:rsidRPr="0099452E" w:rsidRDefault="0099452E" w:rsidP="00994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8" type="#_x0000_t75" style="width:161.6pt;height:18.4pt" o:ole="">
                        <v:imagedata r:id="rId37" o:title=""/>
                      </v:shape>
                      <w:control r:id="rId38" w:name="DefaultOcxName" w:shapeid="_x0000_i1088"/>
                    </w:object>
                  </w: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0F0F0"/>
                  <w:noWrap/>
                  <w:vAlign w:val="center"/>
                  <w:hideMark/>
                </w:tcPr>
                <w:p w:rsidR="0099452E" w:rsidRPr="0099452E" w:rsidRDefault="0099452E" w:rsidP="00994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7" type="#_x0000_t75" style="width:10.9pt;height:10.9pt" o:ole="">
                        <v:imagedata r:id="rId39" o:title=""/>
                      </v:shape>
                      <w:control r:id="rId40" w:name="DefaultOcxName1" w:shapeid="_x0000_i1087"/>
                    </w:object>
                  </w: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9452E" w:rsidRPr="0099452E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D4DEE8"/>
                  <w:vAlign w:val="center"/>
                  <w:hideMark/>
                </w:tcPr>
                <w:p w:rsidR="0099452E" w:rsidRPr="0099452E" w:rsidRDefault="0099452E" w:rsidP="0099452E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5" name="Рисунок 25" descr="http://zakonst.rada.gov.ua/images/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zakonst.rada.gov.ua/images/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452E" w:rsidRPr="0099452E">
              <w:trPr>
                <w:trHeight w:val="240"/>
                <w:tblCellSpacing w:w="0" w:type="dxa"/>
              </w:trPr>
              <w:tc>
                <w:tcPr>
                  <w:tcW w:w="0" w:type="auto"/>
                  <w:gridSpan w:val="5"/>
                  <w:shd w:val="clear" w:color="auto" w:fill="D4DEE8"/>
                  <w:noWrap/>
                  <w:vAlign w:val="center"/>
                  <w:hideMark/>
                </w:tcPr>
                <w:p w:rsidR="0099452E" w:rsidRPr="0099452E" w:rsidRDefault="0099452E" w:rsidP="009945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5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</w:t>
                  </w:r>
                  <w:proofErr w:type="gramStart"/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gramEnd"/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льки українськi (або рос.) лiтери, мiнiмальна довжина слова </w:t>
                  </w:r>
                  <w:r w:rsidRPr="009945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9945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символи... </w:t>
                  </w:r>
                </w:p>
              </w:tc>
            </w:tr>
          </w:tbl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52E" w:rsidRPr="0099452E" w:rsidRDefault="0099452E" w:rsidP="0099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52E" w:rsidRPr="0099452E" w:rsidRDefault="0099452E" w:rsidP="0099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2E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.75pt" o:hralign="center" o:hrstd="t" o:hrnoshade="t" o:hr="t" fillcolor="#6b92b9" stroked="f"/>
        </w:pict>
      </w:r>
    </w:p>
    <w:p w:rsidR="0099452E" w:rsidRPr="0099452E" w:rsidRDefault="0099452E" w:rsidP="00994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52E">
        <w:rPr>
          <w:rFonts w:ascii="Times New Roman" w:eastAsia="Times New Roman" w:hAnsi="Times New Roman" w:cs="Times New Roman"/>
          <w:color w:val="4C7BAA"/>
          <w:sz w:val="15"/>
          <w:szCs w:val="15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7997"/>
        <w:gridCol w:w="608"/>
      </w:tblGrid>
      <w:tr w:rsidR="0099452E" w:rsidRPr="0099452E" w:rsidTr="0099452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53340"/>
                  <wp:effectExtent l="0" t="0" r="0" b="0"/>
                  <wp:docPr id="27" name="Рисунок 27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5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2E" w:rsidRPr="0099452E" w:rsidTr="0099452E">
        <w:trPr>
          <w:tblCellSpacing w:w="0" w:type="dxa"/>
        </w:trPr>
        <w:tc>
          <w:tcPr>
            <w:tcW w:w="0" w:type="auto"/>
            <w:gridSpan w:val="3"/>
            <w:shd w:val="clear" w:color="auto" w:fill="D4DEE8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42545"/>
                  <wp:effectExtent l="0" t="0" r="0" b="0"/>
                  <wp:docPr id="28" name="Рисунок 28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4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2E" w:rsidRPr="0099452E" w:rsidTr="0099452E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7395BA"/>
            <w:vAlign w:val="center"/>
            <w:hideMark/>
          </w:tcPr>
          <w:p w:rsidR="0099452E" w:rsidRPr="0099452E" w:rsidRDefault="0099452E" w:rsidP="0099452E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20955"/>
                  <wp:effectExtent l="0" t="0" r="0" b="0"/>
                  <wp:docPr id="29" name="Рисунок 29" descr="http://zakonst.rada.gov.ua/images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zakonst.rada.gov.ua/images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2E" w:rsidRPr="0099452E" w:rsidTr="0099452E">
        <w:trPr>
          <w:trHeight w:val="450"/>
          <w:tblCellSpacing w:w="0" w:type="dxa"/>
        </w:trPr>
        <w:tc>
          <w:tcPr>
            <w:tcW w:w="0" w:type="auto"/>
            <w:shd w:val="clear" w:color="auto" w:fill="EEF2F6"/>
            <w:noWrap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 [ </w:t>
            </w:r>
            <w:hyperlink r:id="rId41" w:history="1">
              <w:r w:rsidRPr="0099452E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закрити</w:t>
              </w:r>
            </w:hyperlink>
            <w:proofErr w:type="gramStart"/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]</w:t>
            </w:r>
            <w:proofErr w:type="gramEnd"/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5000" w:type="pct"/>
            <w:shd w:val="clear" w:color="auto" w:fill="EEF2F6"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2E">
              <w:rPr>
                <w:rFonts w:ascii="Verdana" w:eastAsia="Times New Roman" w:hAnsi="Verdana" w:cs="Times New Roman"/>
                <w:color w:val="004386"/>
                <w:sz w:val="18"/>
                <w:szCs w:val="18"/>
              </w:rPr>
              <w:t>Управлiння комп'ютеризованих систем</w:t>
            </w:r>
            <w:r w:rsidRPr="0099452E">
              <w:rPr>
                <w:rFonts w:ascii="Verdana" w:eastAsia="Times New Roman" w:hAnsi="Verdana" w:cs="Times New Roman"/>
                <w:color w:val="004386"/>
                <w:sz w:val="18"/>
                <w:szCs w:val="18"/>
              </w:rPr>
              <w:br/>
              <w:t>Апарату Верховно</w:t>
            </w:r>
            <w:proofErr w:type="gramStart"/>
            <w:r w:rsidRPr="0099452E">
              <w:rPr>
                <w:rFonts w:ascii="Verdana" w:eastAsia="Times New Roman" w:hAnsi="Verdana" w:cs="Times New Roman"/>
                <w:color w:val="004386"/>
                <w:sz w:val="18"/>
                <w:szCs w:val="18"/>
              </w:rPr>
              <w:t>ї Р</w:t>
            </w:r>
            <w:proofErr w:type="gramEnd"/>
            <w:r w:rsidRPr="0099452E">
              <w:rPr>
                <w:rFonts w:ascii="Verdana" w:eastAsia="Times New Roman" w:hAnsi="Verdana" w:cs="Times New Roman"/>
                <w:color w:val="004386"/>
                <w:sz w:val="18"/>
                <w:szCs w:val="18"/>
              </w:rPr>
              <w:t>ади України © 1996-2011</w:t>
            </w:r>
          </w:p>
        </w:tc>
        <w:tc>
          <w:tcPr>
            <w:tcW w:w="0" w:type="auto"/>
            <w:shd w:val="clear" w:color="auto" w:fill="EEF2F6"/>
            <w:noWrap/>
            <w:vAlign w:val="center"/>
            <w:hideMark/>
          </w:tcPr>
          <w:p w:rsidR="0099452E" w:rsidRPr="0099452E" w:rsidRDefault="0099452E" w:rsidP="0099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 [ </w:t>
            </w:r>
            <w:hyperlink r:id="rId42" w:anchor="top" w:history="1">
              <w:r w:rsidRPr="0099452E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</w:rPr>
                <w:t>вгору</w:t>
              </w:r>
            </w:hyperlink>
            <w:proofErr w:type="gramStart"/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]</w:t>
            </w:r>
            <w:proofErr w:type="gramEnd"/>
            <w:r w:rsidRPr="0099452E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000000" w:rsidRDefault="0099452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99452E"/>
    <w:rsid w:val="009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5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94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452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1225-2000-%EF&amp;c=1" TargetMode="External"/><Relationship Id="rId13" Type="http://schemas.openxmlformats.org/officeDocument/2006/relationships/hyperlink" Target="http://www.rada.gov.ua/cgi-bin/laws/main.cgi?nreg=1225-2000-%EF" TargetMode="External"/><Relationship Id="rId18" Type="http://schemas.openxmlformats.org/officeDocument/2006/relationships/hyperlink" Target="http://zakon1.rada.gov.ua/cgi-bin/laws/main.cgi?user=l65908" TargetMode="External"/><Relationship Id="rId26" Type="http://schemas.openxmlformats.org/officeDocument/2006/relationships/image" Target="media/image9.gif"/><Relationship Id="rId39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6.gif"/><Relationship Id="rId34" Type="http://schemas.openxmlformats.org/officeDocument/2006/relationships/hyperlink" Target="javascript:OpenDoc('518-2011-&#1087;');" TargetMode="External"/><Relationship Id="rId42" Type="http://schemas.openxmlformats.org/officeDocument/2006/relationships/hyperlink" Target="http://zakon1.rada.gov.ua/cgi-bin/laws/main.cgi?nreg=1225-2000-%EF" TargetMode="External"/><Relationship Id="rId7" Type="http://schemas.openxmlformats.org/officeDocument/2006/relationships/hyperlink" Target="http://zakon1.rada.gov.ua/cgi-bin/laws/main.cgi?nreg=1225-2000-%EF&amp;c=1" TargetMode="External"/><Relationship Id="rId12" Type="http://schemas.openxmlformats.org/officeDocument/2006/relationships/hyperlink" Target="http://zakon1.rada.gov.ua/cgi-bin/laws/main.cgi?nreg=1225-2000-%EF&amp;p=1305273001904943" TargetMode="External"/><Relationship Id="rId17" Type="http://schemas.openxmlformats.org/officeDocument/2006/relationships/image" Target="media/image4.gif"/><Relationship Id="rId25" Type="http://schemas.openxmlformats.org/officeDocument/2006/relationships/image" Target="media/image8.gif"/><Relationship Id="rId33" Type="http://schemas.openxmlformats.org/officeDocument/2006/relationships/hyperlink" Target="javascript:OpenDoc('518-2011-&#1087;');" TargetMode="External"/><Relationship Id="rId38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hyperlink" Target="http://zakon1.rada.gov.ua/cgi-bin/laws/main.cgi?nreg=1225-2000-%EF&amp;new=1" TargetMode="External"/><Relationship Id="rId29" Type="http://schemas.openxmlformats.org/officeDocument/2006/relationships/hyperlink" Target="javascript:OpenDoc('518-2011-&#1087;');" TargetMode="External"/><Relationship Id="rId41" Type="http://schemas.openxmlformats.org/officeDocument/2006/relationships/hyperlink" Target="javascript:close()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zakon1.rada.gov.ua/cgi-bin/laws/main.cgi?nreg=1225-2000-%EF&amp;c=1" TargetMode="External"/><Relationship Id="rId24" Type="http://schemas.openxmlformats.org/officeDocument/2006/relationships/hyperlink" Target="http://zakon1.rada.gov.ua/cgi-bin/laws/main.cgi?nreg=1225-2000-%EF#Find" TargetMode="External"/><Relationship Id="rId32" Type="http://schemas.openxmlformats.org/officeDocument/2006/relationships/hyperlink" Target="javascript:OpenDoc('2658-14');" TargetMode="External"/><Relationship Id="rId37" Type="http://schemas.openxmlformats.org/officeDocument/2006/relationships/image" Target="media/image12.wmf"/><Relationship Id="rId40" Type="http://schemas.openxmlformats.org/officeDocument/2006/relationships/control" Target="activeX/activeX2.xml"/><Relationship Id="rId5" Type="http://schemas.openxmlformats.org/officeDocument/2006/relationships/image" Target="media/image1.jpeg"/><Relationship Id="rId15" Type="http://schemas.openxmlformats.org/officeDocument/2006/relationships/hyperlink" Target="javascript:OpenDoc('518-2011-&#1087;')" TargetMode="External"/><Relationship Id="rId23" Type="http://schemas.openxmlformats.org/officeDocument/2006/relationships/image" Target="media/image7.gif"/><Relationship Id="rId28" Type="http://schemas.openxmlformats.org/officeDocument/2006/relationships/hyperlink" Target="javascript:OpenDoc('896-2009-&#1087;');" TargetMode="External"/><Relationship Id="rId36" Type="http://schemas.openxmlformats.org/officeDocument/2006/relationships/image" Target="media/image11.gif"/><Relationship Id="rId10" Type="http://schemas.openxmlformats.org/officeDocument/2006/relationships/hyperlink" Target="http://zakon1.rada.gov.ua/cgi-bin/laws/main.cgi?nreg=1225-2000-%EF&amp;c=1" TargetMode="External"/><Relationship Id="rId19" Type="http://schemas.openxmlformats.org/officeDocument/2006/relationships/image" Target="media/image5.gif"/><Relationship Id="rId31" Type="http://schemas.openxmlformats.org/officeDocument/2006/relationships/hyperlink" Target="javascript:OpenDoc('759-98-&#1087;');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zakon1.rada.gov.ua/cgi-bin/laws/main.cgi?user=index" TargetMode="External"/><Relationship Id="rId9" Type="http://schemas.openxmlformats.org/officeDocument/2006/relationships/hyperlink" Target="http://zakon1.rada.gov.ua/cgi-bin/laws/main.cgi?nreg=1225-2000-%EF&amp;c=1" TargetMode="External"/><Relationship Id="rId14" Type="http://schemas.openxmlformats.org/officeDocument/2006/relationships/hyperlink" Target="http://zakon1.rada.gov.ua/cgi-bin/laws/main.cgi?nreg=1225-2000-%EF&amp;c=1" TargetMode="External"/><Relationship Id="rId22" Type="http://schemas.openxmlformats.org/officeDocument/2006/relationships/hyperlink" Target="http://zakon1.rada.gov.ua/cgi-bin/laws/main.cgi?nreg=1225-2000-%EF&amp;stru=1#Stru1" TargetMode="External"/><Relationship Id="rId27" Type="http://schemas.openxmlformats.org/officeDocument/2006/relationships/image" Target="media/image10.gif"/><Relationship Id="rId30" Type="http://schemas.openxmlformats.org/officeDocument/2006/relationships/hyperlink" Target="javascript:OpenDoc('1075-14');" TargetMode="External"/><Relationship Id="rId35" Type="http://schemas.openxmlformats.org/officeDocument/2006/relationships/hyperlink" Target="javascript:OpenDoc('518-2011-&#1087;');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3729</Words>
  <Characters>21257</Characters>
  <Application>Microsoft Office Word</Application>
  <DocSecurity>0</DocSecurity>
  <Lines>177</Lines>
  <Paragraphs>49</Paragraphs>
  <ScaleCrop>false</ScaleCrop>
  <Company>Microsoft</Company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2011-05-28T15:46:00Z</dcterms:created>
  <dcterms:modified xsi:type="dcterms:W3CDTF">2011-05-28T15:48:00Z</dcterms:modified>
</cp:coreProperties>
</file>